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2DCB" w14:textId="48B7EE3E" w:rsidR="004B377C" w:rsidRPr="004B377C" w:rsidRDefault="004B377C" w:rsidP="004B377C">
      <w:pPr>
        <w:spacing w:line="281" w:lineRule="auto"/>
        <w:ind w:left="4248" w:firstLine="708"/>
        <w:rPr>
          <w:rFonts w:ascii="Tahoma" w:hAnsi="Tahoma" w:cs="Tahoma"/>
        </w:rPr>
      </w:pPr>
      <w:r w:rsidRPr="004B377C">
        <w:rPr>
          <w:rFonts w:ascii="Tahoma" w:hAnsi="Tahoma" w:cs="Tahoma"/>
        </w:rPr>
        <w:t>………………., dnia ……………………………….</w:t>
      </w:r>
      <w:r w:rsidRPr="00F1792A">
        <w:rPr>
          <w:rFonts w:ascii="Tahoma" w:hAnsi="Tahoma" w:cs="Tahoma"/>
        </w:rPr>
        <w:t xml:space="preserve"> </w:t>
      </w:r>
    </w:p>
    <w:p w14:paraId="2F597C45" w14:textId="77777777" w:rsidR="004B377C" w:rsidRDefault="004B377C" w:rsidP="004B377C">
      <w:pPr>
        <w:spacing w:line="281" w:lineRule="auto"/>
        <w:rPr>
          <w:rFonts w:ascii="Tahoma" w:hAnsi="Tahoma" w:cs="Tahoma"/>
          <w:b/>
          <w:bCs/>
        </w:rPr>
      </w:pPr>
    </w:p>
    <w:p w14:paraId="2AD54A9E" w14:textId="1AAE9090" w:rsidR="004B377C" w:rsidRPr="004B377C" w:rsidRDefault="004B377C" w:rsidP="004B377C">
      <w:pPr>
        <w:spacing w:line="281" w:lineRule="auto"/>
        <w:rPr>
          <w:rFonts w:ascii="Tahoma" w:hAnsi="Tahoma" w:cs="Tahoma"/>
          <w:b/>
          <w:bCs/>
        </w:rPr>
      </w:pPr>
      <w:r w:rsidRPr="004B377C">
        <w:rPr>
          <w:rFonts w:ascii="Tahoma" w:hAnsi="Tahoma" w:cs="Tahoma"/>
          <w:b/>
          <w:bCs/>
        </w:rPr>
        <w:t>Nadleśnictwo ……………………</w:t>
      </w:r>
    </w:p>
    <w:p w14:paraId="17012D66" w14:textId="77777777" w:rsidR="004B377C" w:rsidRPr="004B377C" w:rsidRDefault="004B377C" w:rsidP="004B377C">
      <w:pPr>
        <w:spacing w:line="281" w:lineRule="auto"/>
        <w:rPr>
          <w:rFonts w:ascii="Tahoma" w:hAnsi="Tahoma" w:cs="Tahoma"/>
          <w:b/>
          <w:bCs/>
        </w:rPr>
      </w:pPr>
    </w:p>
    <w:p w14:paraId="23375CBA" w14:textId="77777777" w:rsidR="004B377C" w:rsidRPr="00F1792A" w:rsidRDefault="004B377C" w:rsidP="004B377C">
      <w:pPr>
        <w:spacing w:line="281" w:lineRule="auto"/>
        <w:jc w:val="center"/>
        <w:rPr>
          <w:rFonts w:ascii="Tahoma" w:hAnsi="Tahoma" w:cs="Tahoma"/>
        </w:rPr>
      </w:pPr>
      <w:r w:rsidRPr="00F1792A">
        <w:rPr>
          <w:rFonts w:ascii="Tahoma" w:hAnsi="Tahoma" w:cs="Tahoma"/>
          <w:b/>
          <w:bCs/>
        </w:rPr>
        <w:t>PRZEDSĄDOWE</w:t>
      </w:r>
      <w:r w:rsidRPr="004B377C">
        <w:rPr>
          <w:rFonts w:ascii="Tahoma" w:hAnsi="Tahoma" w:cs="Tahoma"/>
          <w:b/>
          <w:bCs/>
        </w:rPr>
        <w:t xml:space="preserve"> WEZWANIE </w:t>
      </w:r>
      <w:r w:rsidRPr="00F1792A">
        <w:rPr>
          <w:rFonts w:ascii="Tahoma" w:hAnsi="Tahoma" w:cs="Tahoma"/>
          <w:b/>
          <w:bCs/>
        </w:rPr>
        <w:t>DO ZAPŁATY</w:t>
      </w:r>
    </w:p>
    <w:p w14:paraId="294BD229" w14:textId="503775AD" w:rsidR="004B377C" w:rsidRPr="00F1792A" w:rsidRDefault="004B377C" w:rsidP="004B377C">
      <w:pPr>
        <w:spacing w:line="281" w:lineRule="auto"/>
        <w:rPr>
          <w:rFonts w:ascii="Tahoma" w:hAnsi="Tahoma" w:cs="Tahoma"/>
        </w:rPr>
      </w:pPr>
    </w:p>
    <w:p w14:paraId="5CCA3AB8" w14:textId="71873CDE" w:rsidR="004B377C" w:rsidRPr="004B377C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>N</w:t>
      </w:r>
      <w:r w:rsidRPr="00F1792A">
        <w:rPr>
          <w:rFonts w:ascii="Tahoma" w:hAnsi="Tahoma" w:cs="Tahoma"/>
        </w:rPr>
        <w:t>iniejszym wzywam</w:t>
      </w:r>
      <w:r>
        <w:rPr>
          <w:rFonts w:ascii="Tahoma" w:hAnsi="Tahoma" w:cs="Tahoma"/>
        </w:rPr>
        <w:t>:</w:t>
      </w:r>
    </w:p>
    <w:p w14:paraId="553B9E27" w14:textId="3A53D44B" w:rsidR="004B377C" w:rsidRPr="004B377C" w:rsidRDefault="004B377C" w:rsidP="004B377C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Tahoma" w:hAnsi="Tahoma" w:cs="Tahoma"/>
          <w:b/>
          <w:bCs/>
        </w:rPr>
      </w:pPr>
      <w:r w:rsidRPr="004B377C">
        <w:rPr>
          <w:rFonts w:ascii="Tahoma" w:hAnsi="Tahoma" w:cs="Tahoma"/>
        </w:rPr>
        <w:t xml:space="preserve">do zapłaty należności w wysokości </w:t>
      </w:r>
      <w:r w:rsidRPr="004B377C">
        <w:rPr>
          <w:rFonts w:ascii="Tahoma" w:hAnsi="Tahoma" w:cs="Tahoma"/>
          <w:b/>
          <w:bCs/>
        </w:rPr>
        <w:t>……………………zł</w:t>
      </w:r>
      <w:r w:rsidRPr="004B377C">
        <w:rPr>
          <w:rFonts w:ascii="Tahoma" w:hAnsi="Tahoma" w:cs="Tahoma"/>
        </w:rPr>
        <w:t xml:space="preserve"> (słownie: ………………………. złotych), </w:t>
      </w:r>
      <w:r w:rsidRPr="00F1792A">
        <w:rPr>
          <w:rFonts w:ascii="Tahoma" w:hAnsi="Tahoma" w:cs="Tahoma"/>
          <w:b/>
          <w:bCs/>
        </w:rPr>
        <w:t>[</w:t>
      </w:r>
      <w:r w:rsidRPr="004B377C">
        <w:rPr>
          <w:rFonts w:ascii="Tahoma" w:hAnsi="Tahoma" w:cs="Tahoma"/>
          <w:b/>
          <w:bCs/>
        </w:rPr>
        <w:t>kwota równoważnika * ilość miesięcy za które nie został wypłacony</w:t>
      </w:r>
      <w:r w:rsidRPr="00F1792A">
        <w:rPr>
          <w:rFonts w:ascii="Tahoma" w:hAnsi="Tahoma" w:cs="Tahoma"/>
          <w:b/>
          <w:bCs/>
        </w:rPr>
        <w:t>]</w:t>
      </w:r>
      <w:r w:rsidRPr="004B377C">
        <w:rPr>
          <w:rFonts w:ascii="Tahoma" w:hAnsi="Tahoma" w:cs="Tahoma"/>
        </w:rPr>
        <w:t xml:space="preserve">wynikającej z wstrzymanej mi od miesiąca …………………………… </w:t>
      </w:r>
      <w:r w:rsidRPr="00F1792A">
        <w:rPr>
          <w:rFonts w:ascii="Tahoma" w:hAnsi="Tahoma" w:cs="Tahoma"/>
          <w:b/>
          <w:bCs/>
        </w:rPr>
        <w:t>[</w:t>
      </w:r>
      <w:r w:rsidRPr="004B377C">
        <w:rPr>
          <w:rFonts w:ascii="Tahoma" w:hAnsi="Tahoma" w:cs="Tahoma"/>
          <w:b/>
          <w:bCs/>
        </w:rPr>
        <w:t>miesiąc w którym wstrzymano wypłatę równoważnika</w:t>
      </w:r>
      <w:r w:rsidRPr="00F1792A">
        <w:rPr>
          <w:rFonts w:ascii="Tahoma" w:hAnsi="Tahoma" w:cs="Tahoma"/>
          <w:b/>
          <w:bCs/>
        </w:rPr>
        <w:t>]</w:t>
      </w:r>
      <w:r w:rsidRPr="004B377C">
        <w:rPr>
          <w:rFonts w:ascii="Tahoma" w:hAnsi="Tahoma" w:cs="Tahoma"/>
        </w:rPr>
        <w:t>wypłaty równoważnika pieniężnego, wypłacanego na podstawie art. 46 ust 3 w zw. z art. 46 ust 1 pkt 2) ustawy z</w:t>
      </w:r>
      <w:r>
        <w:rPr>
          <w:rFonts w:ascii="Tahoma" w:hAnsi="Tahoma" w:cs="Tahoma"/>
        </w:rPr>
        <w:t xml:space="preserve"> </w:t>
      </w:r>
      <w:r w:rsidRPr="004B377C">
        <w:rPr>
          <w:rFonts w:ascii="Tahoma" w:hAnsi="Tahoma" w:cs="Tahoma"/>
        </w:rPr>
        <w:t xml:space="preserve"> dnia 28 września 1991 </w:t>
      </w:r>
      <w:proofErr w:type="spellStart"/>
      <w:r w:rsidRPr="004B377C">
        <w:rPr>
          <w:rFonts w:ascii="Tahoma" w:hAnsi="Tahoma" w:cs="Tahoma"/>
        </w:rPr>
        <w:t>r.o</w:t>
      </w:r>
      <w:proofErr w:type="spellEnd"/>
      <w:r w:rsidRPr="004B377C">
        <w:rPr>
          <w:rFonts w:ascii="Tahoma" w:hAnsi="Tahoma" w:cs="Tahoma"/>
        </w:rPr>
        <w:t xml:space="preserve"> lasach (Dz.U.2024.530 </w:t>
      </w:r>
      <w:proofErr w:type="spellStart"/>
      <w:r w:rsidRPr="004B377C">
        <w:rPr>
          <w:rFonts w:ascii="Tahoma" w:hAnsi="Tahoma" w:cs="Tahoma"/>
        </w:rPr>
        <w:t>t.j</w:t>
      </w:r>
      <w:proofErr w:type="spellEnd"/>
      <w:r w:rsidRPr="004B377C">
        <w:rPr>
          <w:rFonts w:ascii="Tahoma" w:hAnsi="Tahoma" w:cs="Tahoma"/>
        </w:rPr>
        <w:t>.)</w:t>
      </w:r>
    </w:p>
    <w:p w14:paraId="6B2F1AED" w14:textId="77777777" w:rsidR="004B377C" w:rsidRDefault="004B377C" w:rsidP="004B377C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 xml:space="preserve">do wznowienia comiesięcznych wypłat równoważnika na mój rachunek bankowy w terminie ……………… </w:t>
      </w:r>
      <w:r w:rsidRPr="00F1792A">
        <w:rPr>
          <w:rFonts w:ascii="Tahoma" w:hAnsi="Tahoma" w:cs="Tahoma"/>
          <w:b/>
          <w:bCs/>
        </w:rPr>
        <w:t>[</w:t>
      </w:r>
      <w:r w:rsidRPr="004B377C">
        <w:rPr>
          <w:rFonts w:ascii="Tahoma" w:hAnsi="Tahoma" w:cs="Tahoma"/>
          <w:b/>
          <w:bCs/>
        </w:rPr>
        <w:t>dzień  w którym równoważnik był wypłacany np. do 10-tego dnia</w:t>
      </w:r>
      <w:r w:rsidRPr="00F1792A">
        <w:rPr>
          <w:rFonts w:ascii="Tahoma" w:hAnsi="Tahoma" w:cs="Tahoma"/>
          <w:b/>
          <w:bCs/>
        </w:rPr>
        <w:t>]</w:t>
      </w:r>
      <w:r w:rsidRPr="004B377C">
        <w:rPr>
          <w:rFonts w:ascii="Tahoma" w:hAnsi="Tahoma" w:cs="Tahoma"/>
        </w:rPr>
        <w:t>każdego miesiąca</w:t>
      </w:r>
    </w:p>
    <w:p w14:paraId="6CF9D58B" w14:textId="30193AFC" w:rsidR="007A7B83" w:rsidRPr="004B377C" w:rsidRDefault="007A7B83" w:rsidP="004B377C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wyjaśnienia tematu dyskryminacji z uwagi na miejsce zamieszkania, do której doszło wskutek zawieszenia mi prawa do równoważnika.</w:t>
      </w:r>
    </w:p>
    <w:p w14:paraId="0928F15C" w14:textId="77777777" w:rsidR="004B377C" w:rsidRPr="004B377C" w:rsidRDefault="004B377C" w:rsidP="004B377C">
      <w:pPr>
        <w:pStyle w:val="Akapitzlist"/>
        <w:spacing w:line="281" w:lineRule="auto"/>
        <w:rPr>
          <w:rFonts w:ascii="Tahoma" w:hAnsi="Tahoma" w:cs="Tahoma"/>
        </w:rPr>
      </w:pPr>
    </w:p>
    <w:p w14:paraId="1B235B6C" w14:textId="0E9E9F43" w:rsidR="004B377C" w:rsidRPr="004B377C" w:rsidRDefault="004B377C" w:rsidP="004B377C">
      <w:pPr>
        <w:spacing w:line="281" w:lineRule="auto"/>
        <w:jc w:val="center"/>
        <w:rPr>
          <w:rFonts w:ascii="Tahoma" w:hAnsi="Tahoma" w:cs="Tahoma"/>
          <w:b/>
          <w:bCs/>
        </w:rPr>
      </w:pPr>
      <w:r w:rsidRPr="004B377C">
        <w:rPr>
          <w:rFonts w:ascii="Tahoma" w:hAnsi="Tahoma" w:cs="Tahoma"/>
          <w:b/>
          <w:bCs/>
        </w:rPr>
        <w:t>UZASADNIENIE</w:t>
      </w:r>
    </w:p>
    <w:p w14:paraId="0068EB43" w14:textId="73CC844F" w:rsidR="007A7B83" w:rsidRDefault="007A7B83" w:rsidP="007A7B83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Tahoma" w:hAnsi="Tahoma" w:cs="Tahoma"/>
        </w:rPr>
      </w:pPr>
      <w:r w:rsidRPr="007A7B83">
        <w:rPr>
          <w:rFonts w:ascii="Tahoma" w:hAnsi="Tahoma" w:cs="Tahoma"/>
          <w:u w:val="single"/>
        </w:rPr>
        <w:t>Prawo do bezpłatnego mieszkania/równoważnika</w:t>
      </w:r>
      <w:r>
        <w:rPr>
          <w:rFonts w:ascii="Tahoma" w:hAnsi="Tahoma" w:cs="Tahoma"/>
        </w:rPr>
        <w:t>.</w:t>
      </w:r>
    </w:p>
    <w:p w14:paraId="04CD969A" w14:textId="77777777" w:rsidR="008028A5" w:rsidRPr="008028A5" w:rsidRDefault="008028A5" w:rsidP="008028A5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208DA347" w14:textId="2C0D6FF2" w:rsidR="007A7B83" w:rsidRDefault="007A7B83" w:rsidP="007A7B83">
      <w:pPr>
        <w:pStyle w:val="Akapitzlist"/>
        <w:numPr>
          <w:ilvl w:val="0"/>
          <w:numId w:val="5"/>
        </w:numPr>
        <w:spacing w:line="281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Podstawy prawne.</w:t>
      </w:r>
    </w:p>
    <w:p w14:paraId="0BD33F6B" w14:textId="02054DFD" w:rsidR="004B377C" w:rsidRPr="007A7B83" w:rsidRDefault="004B377C" w:rsidP="007A7B83">
      <w:pPr>
        <w:spacing w:line="281" w:lineRule="auto"/>
        <w:jc w:val="both"/>
        <w:rPr>
          <w:rFonts w:ascii="Tahoma" w:hAnsi="Tahoma" w:cs="Tahoma"/>
        </w:rPr>
      </w:pPr>
      <w:r w:rsidRPr="007A7B83">
        <w:rPr>
          <w:rFonts w:ascii="Tahoma" w:hAnsi="Tahoma" w:cs="Tahoma"/>
        </w:rPr>
        <w:t>Zgodnie z art. 46 ust. 1 pkt 2 ustawy o lasach Pracownicy Służby Leśnej mają prawo do bezpłatnego mieszkania, jeżeli stanowisko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oraz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charakter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pracy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związane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są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z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>koniecznością</w:t>
      </w:r>
      <w:r w:rsidRPr="007A7B83">
        <w:rPr>
          <w:rFonts w:ascii="Tahoma" w:hAnsi="Tahoma" w:cs="Tahoma"/>
          <w:spacing w:val="80"/>
        </w:rPr>
        <w:t xml:space="preserve"> </w:t>
      </w:r>
      <w:r w:rsidRPr="007A7B83">
        <w:rPr>
          <w:rFonts w:ascii="Tahoma" w:hAnsi="Tahoma" w:cs="Tahoma"/>
        </w:rPr>
        <w:t xml:space="preserve">zamieszkania w miejscu jej wykonywania. W razie braku mieszkań będących w zarządzie Lasów Państwowych na potrzeby, o których mowa w art. 46n ust. 1 pkt 2 ustawy o lasach, pracownikowi przysługuje równoważnik pieniężny. </w:t>
      </w:r>
    </w:p>
    <w:p w14:paraId="42349621" w14:textId="77777777" w:rsidR="004B377C" w:rsidRPr="004B377C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 xml:space="preserve">Od ……. </w:t>
      </w:r>
      <w:r w:rsidRPr="00F1792A">
        <w:rPr>
          <w:rFonts w:ascii="Tahoma" w:hAnsi="Tahoma" w:cs="Tahoma"/>
          <w:b/>
          <w:bCs/>
        </w:rPr>
        <w:t>[</w:t>
      </w:r>
      <w:r w:rsidRPr="004B377C">
        <w:rPr>
          <w:rFonts w:ascii="Tahoma" w:hAnsi="Tahoma" w:cs="Tahoma"/>
          <w:b/>
          <w:bCs/>
        </w:rPr>
        <w:t>Od kiedy równoważnik był wypłacany</w:t>
      </w:r>
      <w:r w:rsidRPr="00F1792A">
        <w:rPr>
          <w:rFonts w:ascii="Tahoma" w:hAnsi="Tahoma" w:cs="Tahoma"/>
          <w:b/>
          <w:bCs/>
        </w:rPr>
        <w:t>]</w:t>
      </w:r>
      <w:r w:rsidRPr="004B377C">
        <w:rPr>
          <w:rFonts w:ascii="Tahoma" w:hAnsi="Tahoma" w:cs="Tahoma"/>
        </w:rPr>
        <w:t xml:space="preserve">Tut. Nadleśnictwo wypłacało mi równoważnik pieniężny, którego wypłata została wstrzymana w miesiącu ….. 2025 r. </w:t>
      </w:r>
      <w:r w:rsidRPr="00F1792A">
        <w:rPr>
          <w:rFonts w:ascii="Tahoma" w:hAnsi="Tahoma" w:cs="Tahoma"/>
          <w:b/>
          <w:bCs/>
        </w:rPr>
        <w:t>[</w:t>
      </w:r>
      <w:r w:rsidRPr="004B377C">
        <w:rPr>
          <w:rFonts w:ascii="Tahoma" w:hAnsi="Tahoma" w:cs="Tahoma"/>
          <w:b/>
          <w:bCs/>
        </w:rPr>
        <w:t>Od kiedy równoważnik został wstrzymany</w:t>
      </w:r>
      <w:r w:rsidRPr="00F1792A">
        <w:rPr>
          <w:rFonts w:ascii="Tahoma" w:hAnsi="Tahoma" w:cs="Tahoma"/>
          <w:b/>
          <w:bCs/>
        </w:rPr>
        <w:t>]</w:t>
      </w:r>
    </w:p>
    <w:p w14:paraId="52FD5675" w14:textId="342757E1" w:rsidR="007A7B83" w:rsidRPr="007A7B83" w:rsidRDefault="007A7B83" w:rsidP="007A7B83">
      <w:pPr>
        <w:pStyle w:val="Akapitzlist"/>
        <w:numPr>
          <w:ilvl w:val="0"/>
          <w:numId w:val="5"/>
        </w:numPr>
        <w:spacing w:line="281" w:lineRule="auto"/>
        <w:jc w:val="both"/>
        <w:rPr>
          <w:rFonts w:ascii="Tahoma" w:hAnsi="Tahoma" w:cs="Tahoma"/>
          <w:u w:val="single"/>
        </w:rPr>
      </w:pPr>
      <w:r w:rsidRPr="007A7B83">
        <w:rPr>
          <w:rFonts w:ascii="Tahoma" w:hAnsi="Tahoma" w:cs="Tahoma"/>
          <w:u w:val="single"/>
        </w:rPr>
        <w:t xml:space="preserve">Wykładnia dokonana przez DGLP i </w:t>
      </w:r>
      <w:r w:rsidRPr="007A7B83">
        <w:rPr>
          <w:rFonts w:ascii="Tahoma" w:hAnsi="Tahoma" w:cs="Tahoma"/>
          <w:u w:val="single"/>
        </w:rPr>
        <w:t>Ministerstw</w:t>
      </w:r>
      <w:r w:rsidRPr="007A7B83">
        <w:rPr>
          <w:rFonts w:ascii="Tahoma" w:hAnsi="Tahoma" w:cs="Tahoma"/>
          <w:u w:val="single"/>
        </w:rPr>
        <w:t>o</w:t>
      </w:r>
      <w:r w:rsidRPr="007A7B83">
        <w:rPr>
          <w:rFonts w:ascii="Tahoma" w:hAnsi="Tahoma" w:cs="Tahoma"/>
          <w:u w:val="single"/>
        </w:rPr>
        <w:t xml:space="preserve"> Klimatu i Środowiska, </w:t>
      </w:r>
    </w:p>
    <w:p w14:paraId="76705AE8" w14:textId="3C603C7D" w:rsidR="004B377C" w:rsidRPr="004B377C" w:rsidRDefault="007A7B83" w:rsidP="004B377C">
      <w:pPr>
        <w:spacing w:line="281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4B377C" w:rsidRPr="004B377C">
        <w:rPr>
          <w:rFonts w:ascii="Tahoma" w:hAnsi="Tahoma" w:cs="Tahoma"/>
        </w:rPr>
        <w:t xml:space="preserve">rzekazane mi </w:t>
      </w:r>
      <w:r w:rsidR="004B377C">
        <w:rPr>
          <w:rFonts w:ascii="Tahoma" w:hAnsi="Tahoma" w:cs="Tahoma"/>
        </w:rPr>
        <w:t xml:space="preserve">ustnie </w:t>
      </w:r>
      <w:r w:rsidR="004B377C" w:rsidRPr="004B377C">
        <w:rPr>
          <w:rFonts w:ascii="Tahoma" w:hAnsi="Tahoma" w:cs="Tahoma"/>
        </w:rPr>
        <w:t>uzasadnienie takiego postępowania opiera się o pismo Dyrektora Generalnego z dnia 28 stycznia 2025 r.</w:t>
      </w:r>
      <w:r w:rsidR="004B377C">
        <w:rPr>
          <w:rFonts w:ascii="Tahoma" w:hAnsi="Tahoma" w:cs="Tahoma"/>
        </w:rPr>
        <w:t xml:space="preserve"> (</w:t>
      </w:r>
      <w:r w:rsidR="004B377C" w:rsidRPr="004B377C">
        <w:rPr>
          <w:rFonts w:ascii="Tahoma" w:hAnsi="Tahoma" w:cs="Tahoma"/>
        </w:rPr>
        <w:t xml:space="preserve">Zn. </w:t>
      </w:r>
      <w:proofErr w:type="spellStart"/>
      <w:r w:rsidR="004B377C" w:rsidRPr="004B377C">
        <w:rPr>
          <w:rFonts w:ascii="Tahoma" w:hAnsi="Tahoma" w:cs="Tahoma"/>
        </w:rPr>
        <w:t>spr</w:t>
      </w:r>
      <w:proofErr w:type="spellEnd"/>
      <w:r w:rsidR="004B377C" w:rsidRPr="004B377C">
        <w:rPr>
          <w:rFonts w:ascii="Tahoma" w:hAnsi="Tahoma" w:cs="Tahoma"/>
        </w:rPr>
        <w:t>.: GM.160.12.2024</w:t>
      </w:r>
      <w:r w:rsidR="004B377C">
        <w:rPr>
          <w:rFonts w:ascii="Tahoma" w:hAnsi="Tahoma" w:cs="Tahoma"/>
        </w:rPr>
        <w:t xml:space="preserve">) </w:t>
      </w:r>
      <w:r w:rsidR="004B377C" w:rsidRPr="004B377C">
        <w:rPr>
          <w:rFonts w:ascii="Tahoma" w:hAnsi="Tahoma" w:cs="Tahoma"/>
        </w:rPr>
        <w:t xml:space="preserve">gdzie zacytowano stanowisko Ministerstwa Klimatu i Środowiska, które przystępując do wykładni art. 46 ust. pkt 2 ustawy o lasach powołało się na: </w:t>
      </w:r>
    </w:p>
    <w:p w14:paraId="4F5C7E33" w14:textId="77777777" w:rsidR="004B377C" w:rsidRPr="004B377C" w:rsidRDefault="004B377C" w:rsidP="004B377C">
      <w:pPr>
        <w:pStyle w:val="Akapitzlist"/>
        <w:numPr>
          <w:ilvl w:val="0"/>
          <w:numId w:val="2"/>
        </w:num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lastRenderedPageBreak/>
        <w:t xml:space="preserve">uzasadnienie do ustawy z dnia 29 lipca 2005 r. o zmianie ustawy o lasach oraz ustawy o swobodzie działalności gospodarczej (Dz. U. poz. 1460), zgodnie z którym przydział bezpłatnego mieszkania pracownikowi Służby Leśnej występuje w sytuacji, gdy po stronie tego pracownika powstaje powinność zamieszkania w innej miejscowości, w której wykonywana jest praca (s. 17); </w:t>
      </w:r>
    </w:p>
    <w:p w14:paraId="2A62578D" w14:textId="77777777" w:rsidR="004B377C" w:rsidRDefault="004B377C" w:rsidP="004B377C">
      <w:pPr>
        <w:pStyle w:val="Akapitzlist"/>
        <w:numPr>
          <w:ilvl w:val="0"/>
          <w:numId w:val="2"/>
        </w:num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 xml:space="preserve">komentarz do ustawy o lasach autorstwa Bartosza Rakoczego, w którym zaznaczone zostało, że: </w:t>
      </w:r>
      <w:r w:rsidRPr="004B377C">
        <w:rPr>
          <w:rFonts w:ascii="Tahoma" w:hAnsi="Tahoma" w:cs="Tahoma"/>
          <w:i/>
          <w:iCs/>
        </w:rPr>
        <w:t>„Uprawnienie to dotyczy jedynie takich sytuacji, gdy pracownik musi zmienić miejsce zamieszkania z uwagi na charakter pracy, a nie dysponuje żadnym mieszkaniem w miejscu wykonywania pracy”</w:t>
      </w:r>
      <w:r w:rsidRPr="004B377C">
        <w:rPr>
          <w:rFonts w:ascii="Tahoma" w:hAnsi="Tahoma" w:cs="Tahoma"/>
        </w:rPr>
        <w:t>.</w:t>
      </w:r>
    </w:p>
    <w:p w14:paraId="1E7BD3D9" w14:textId="77777777" w:rsidR="007A7B83" w:rsidRPr="004B377C" w:rsidRDefault="007A7B83" w:rsidP="007A7B83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475FED01" w14:textId="7B565B39" w:rsidR="004B377C" w:rsidRPr="007A7B83" w:rsidRDefault="007A7B83" w:rsidP="007A7B83">
      <w:pPr>
        <w:pStyle w:val="Akapitzlist"/>
        <w:numPr>
          <w:ilvl w:val="0"/>
          <w:numId w:val="5"/>
        </w:numPr>
        <w:spacing w:line="281" w:lineRule="auto"/>
        <w:jc w:val="both"/>
        <w:rPr>
          <w:rFonts w:ascii="Tahoma" w:hAnsi="Tahoma" w:cs="Tahoma"/>
          <w:u w:val="single"/>
        </w:rPr>
      </w:pPr>
      <w:r w:rsidRPr="007A7B83">
        <w:rPr>
          <w:rFonts w:ascii="Tahoma" w:hAnsi="Tahoma" w:cs="Tahoma"/>
          <w:u w:val="single"/>
        </w:rPr>
        <w:t xml:space="preserve">Pominięte prawne aspekty </w:t>
      </w:r>
    </w:p>
    <w:p w14:paraId="19C57AB7" w14:textId="461421E5" w:rsidR="004B377C" w:rsidRPr="004B377C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>Tymczasem proszę mieć na uwadze następujące argumenty, które zostały nie uwzględnione przy wstrzymaniu mi wypłaty równoważnika:</w:t>
      </w:r>
    </w:p>
    <w:p w14:paraId="1DCB19CA" w14:textId="77777777" w:rsidR="00C25356" w:rsidRDefault="004B377C" w:rsidP="007A7B83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 xml:space="preserve"> od wielu lat w Lasach Państwowych </w:t>
      </w:r>
      <w:r w:rsidRPr="004B377C">
        <w:rPr>
          <w:rFonts w:ascii="Tahoma" w:hAnsi="Tahoma" w:cs="Tahoma"/>
          <w:b/>
          <w:bCs/>
        </w:rPr>
        <w:t>fakt przyznawania równoważnika pieniężnego/bezpłatnego mieszkania nie był uzależniany od fizycznej przeprowadzki pracowników w „nowe” miejsce pracy</w:t>
      </w:r>
      <w:r w:rsidRPr="004B377C">
        <w:rPr>
          <w:rFonts w:ascii="Tahoma" w:hAnsi="Tahoma" w:cs="Tahoma"/>
        </w:rPr>
        <w:t>. Taka wykładnia jest stosowana co najmniej od 2009 r. w którym to dokonano zmiany kręgu uprawnionych osób którym przysługuje prawo do bezpłatnego mieszkania/równoważnika.</w:t>
      </w:r>
      <w:r w:rsidRPr="004B377C">
        <w:rPr>
          <w:rStyle w:val="Odwoanieprzypisudolnego"/>
          <w:rFonts w:ascii="Tahoma" w:hAnsi="Tahoma" w:cs="Tahoma"/>
        </w:rPr>
        <w:footnoteReference w:id="1"/>
      </w:r>
      <w:r w:rsidRPr="004B377C">
        <w:rPr>
          <w:rFonts w:ascii="Tahoma" w:hAnsi="Tahoma" w:cs="Tahoma"/>
        </w:rPr>
        <w:t xml:space="preserve"> Sam fakt zmiany wykładni dokonanej na poziomie Dyrekcji Generalnej Lasów Państwowych jak również Ministerstwa pozostaje bez znaczenia dla odmiennego ukształtowania indywidualnych stosunków pracy.</w:t>
      </w:r>
      <w:r w:rsidR="00C25356">
        <w:rPr>
          <w:rFonts w:ascii="Tahoma" w:hAnsi="Tahoma" w:cs="Tahoma"/>
        </w:rPr>
        <w:t xml:space="preserve"> </w:t>
      </w:r>
    </w:p>
    <w:p w14:paraId="58CD33D9" w14:textId="77777777" w:rsidR="00C25356" w:rsidRDefault="00C25356" w:rsidP="00C25356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52157AE3" w14:textId="1525FB31" w:rsidR="00BB5950" w:rsidRPr="00BB5950" w:rsidRDefault="00C25356" w:rsidP="007A7B83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czym w ostatnich miesiącach się zapomina, to fakt, że charakter pracy  na stanowisku leśniczego w Lasach Państwowych wymaga dyspozycyjności w miejscu jej wykonywania, a rodzaj obowiązków wymagają gotowości do natychmiastowego reagowania. Dlatego też w interesie Nadleśnictw jest zapewnienie pracownikom lokalu/równoważnika. „Konieczność zamieszkania w miejscu wykonywania pracy” </w:t>
      </w:r>
      <w:r w:rsidRPr="00DB7468">
        <w:rPr>
          <w:rFonts w:ascii="Tahoma" w:hAnsi="Tahoma" w:cs="Tahoma"/>
          <w:b/>
          <w:bCs/>
        </w:rPr>
        <w:t>odnosi się do cech stanowiska i charakteru pracy</w:t>
      </w:r>
      <w:r>
        <w:rPr>
          <w:rFonts w:ascii="Tahoma" w:hAnsi="Tahoma" w:cs="Tahoma"/>
        </w:rPr>
        <w:t>, a nie rzeczywistego miejsca zamieszkiwania pracownika. Pracownik decydując się na zmianę miejsca zamieszkania (albo gdy Lasy Państwowe nie są w stanie mu zapewnić lokalu na terenie leśnictwa) nie może odmawiać czynności służbowych wymagających jego dyspozycyjności czy natychmiastowej reakcji np. w sytuacji pożarów, kradzieży, czy bieżącego zarządu).</w:t>
      </w:r>
      <w:r w:rsidR="00DB7468">
        <w:rPr>
          <w:rFonts w:ascii="Tahoma" w:hAnsi="Tahoma" w:cs="Tahoma"/>
        </w:rPr>
        <w:t xml:space="preserve"> </w:t>
      </w:r>
      <w:r w:rsidR="00BB5950">
        <w:rPr>
          <w:rFonts w:ascii="Tahoma" w:hAnsi="Tahoma" w:cs="Tahoma"/>
        </w:rPr>
        <w:t xml:space="preserve">Fakt zamieszkiwania gdzie indziej, nie jest podstawą do stosowania jakiejkolwiek taryfy ulgowej, czy ograniczenia powierzonej leśniczemu odpowiedzialności za las. </w:t>
      </w:r>
    </w:p>
    <w:p w14:paraId="4E353425" w14:textId="77777777" w:rsidR="004B377C" w:rsidRPr="004B377C" w:rsidRDefault="004B377C" w:rsidP="004B377C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6585B776" w14:textId="0F681FEE" w:rsidR="004B377C" w:rsidRPr="004B377C" w:rsidRDefault="004B377C" w:rsidP="007A7B83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>W tzw. międzyczasie Nadleśnictwa w Polsce były kontrolowane zarówno przez Inspekcje Wewnętrzne, NIK, PIP i brak jest jakiejkolwiek wiedzy o kwestionowaniu wypłat równoważników</w:t>
      </w:r>
      <w:r>
        <w:rPr>
          <w:rFonts w:ascii="Tahoma" w:hAnsi="Tahoma" w:cs="Tahoma"/>
        </w:rPr>
        <w:t>, co wydaje się co najmniej dziwne biorąc pod uwagę ilość pracowników których te uprawnienia dotyczą.</w:t>
      </w:r>
    </w:p>
    <w:p w14:paraId="252DB501" w14:textId="77777777" w:rsidR="004B377C" w:rsidRPr="004B377C" w:rsidRDefault="004B377C" w:rsidP="004B377C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6FA74FE6" w14:textId="3B6154FD" w:rsidR="004B377C" w:rsidRDefault="004B377C" w:rsidP="007A7B83">
      <w:pPr>
        <w:pStyle w:val="Akapitzlist"/>
        <w:numPr>
          <w:ilvl w:val="0"/>
          <w:numId w:val="6"/>
        </w:numPr>
        <w:spacing w:before="100" w:beforeAutospacing="1" w:after="100" w:afterAutospacing="1" w:line="281" w:lineRule="auto"/>
        <w:jc w:val="both"/>
        <w:rPr>
          <w:rFonts w:ascii="Tahoma" w:eastAsia="Times New Roman" w:hAnsi="Tahoma" w:cs="Tahoma"/>
          <w:lang w:eastAsia="pl-PL"/>
        </w:rPr>
      </w:pPr>
      <w:r w:rsidRPr="004B377C">
        <w:rPr>
          <w:rFonts w:ascii="Tahoma" w:eastAsia="Times New Roman" w:hAnsi="Tahoma" w:cs="Tahoma"/>
          <w:lang w:eastAsia="pl-PL"/>
        </w:rPr>
        <w:t>Z punktu widzenia prawa pracy, pracodawca może przyznawać pracownikom dodatkowe świadczenia, nawet jeśli nie są one wprost przewidziane w przepisach. Co roku otrzymywałam/em od pracodawcy informację o wysokości przysługującego mu równoważnika, a następnie był on regularnie wypłacany. W takiej sytuacji trzeba uznać, że w momencie, gdy równoważnik został przyznany i określona została jego kwota – zgodnie z art. 46 ust. 3 ustawy o lasach – stał się stałą częścią</w:t>
      </w:r>
      <w:r>
        <w:rPr>
          <w:rFonts w:ascii="Tahoma" w:eastAsia="Times New Roman" w:hAnsi="Tahoma" w:cs="Tahoma"/>
          <w:lang w:eastAsia="pl-PL"/>
        </w:rPr>
        <w:t xml:space="preserve"> mojego</w:t>
      </w:r>
      <w:r w:rsidRPr="004B377C">
        <w:rPr>
          <w:rFonts w:ascii="Tahoma" w:eastAsia="Times New Roman" w:hAnsi="Tahoma" w:cs="Tahoma"/>
          <w:lang w:eastAsia="pl-PL"/>
        </w:rPr>
        <w:t xml:space="preserve"> wynagrodzenia. Oznacza to, że wchodzi w skład </w:t>
      </w:r>
      <w:r>
        <w:rPr>
          <w:rFonts w:ascii="Tahoma" w:eastAsia="Times New Roman" w:hAnsi="Tahoma" w:cs="Tahoma"/>
          <w:lang w:eastAsia="pl-PL"/>
        </w:rPr>
        <w:t xml:space="preserve">moich </w:t>
      </w:r>
      <w:r w:rsidRPr="004B377C">
        <w:rPr>
          <w:rFonts w:ascii="Tahoma" w:eastAsia="Times New Roman" w:hAnsi="Tahoma" w:cs="Tahoma"/>
          <w:lang w:eastAsia="pl-PL"/>
        </w:rPr>
        <w:t xml:space="preserve">warunków pracy i płacy, a prawo do tego świadczenia </w:t>
      </w:r>
      <w:r w:rsidRPr="004B377C">
        <w:rPr>
          <w:rFonts w:ascii="Tahoma" w:eastAsia="Times New Roman" w:hAnsi="Tahoma" w:cs="Tahoma"/>
          <w:b/>
          <w:bCs/>
          <w:lang w:eastAsia="pl-PL"/>
        </w:rPr>
        <w:t>jest stałym elementem stosunku pracy.</w:t>
      </w:r>
    </w:p>
    <w:p w14:paraId="47562326" w14:textId="77777777" w:rsidR="004B377C" w:rsidRPr="004B377C" w:rsidRDefault="004B377C" w:rsidP="004B377C">
      <w:pPr>
        <w:pStyle w:val="Akapitzlist"/>
        <w:spacing w:before="100" w:beforeAutospacing="1" w:after="100" w:afterAutospacing="1" w:line="281" w:lineRule="auto"/>
        <w:jc w:val="both"/>
        <w:rPr>
          <w:rFonts w:ascii="Tahoma" w:eastAsia="Times New Roman" w:hAnsi="Tahoma" w:cs="Tahoma"/>
          <w:lang w:eastAsia="pl-PL"/>
        </w:rPr>
      </w:pPr>
    </w:p>
    <w:p w14:paraId="00B13028" w14:textId="77777777" w:rsidR="004B377C" w:rsidRPr="004B377C" w:rsidRDefault="004B377C" w:rsidP="007A7B83">
      <w:pPr>
        <w:pStyle w:val="Akapitzlist"/>
        <w:numPr>
          <w:ilvl w:val="0"/>
          <w:numId w:val="6"/>
        </w:numPr>
        <w:spacing w:before="100" w:beforeAutospacing="1" w:after="100" w:afterAutospacing="1" w:line="281" w:lineRule="auto"/>
        <w:jc w:val="both"/>
        <w:rPr>
          <w:rFonts w:ascii="Tahoma" w:hAnsi="Tahoma" w:cs="Tahoma"/>
          <w:b/>
          <w:bCs/>
        </w:rPr>
      </w:pPr>
      <w:r w:rsidRPr="004B377C">
        <w:rPr>
          <w:rFonts w:ascii="Tahoma" w:hAnsi="Tahoma" w:cs="Tahoma"/>
        </w:rPr>
        <w:t xml:space="preserve">Niezależnie od argumentu przytoczonego w ust b) informuję, PUZP również traktuje o prawie do bezpłatnego mieszkania/równoważnika pieniężnego w § 20 a oraz § 21.  Warto przypomnieć, że zgodnie z art. 9 §  1 </w:t>
      </w:r>
      <w:proofErr w:type="spellStart"/>
      <w:r w:rsidRPr="004B377C">
        <w:rPr>
          <w:rFonts w:ascii="Tahoma" w:hAnsi="Tahoma" w:cs="Tahoma"/>
        </w:rPr>
        <w:t>kp</w:t>
      </w:r>
      <w:proofErr w:type="spellEnd"/>
      <w:r w:rsidRPr="004B377C">
        <w:rPr>
          <w:rFonts w:ascii="Tahoma" w:hAnsi="Tahoma" w:cs="Tahoma"/>
          <w:b/>
          <w:bCs/>
        </w:rPr>
        <w:t xml:space="preserve"> do źródeł prawa pracy zalicza się nie tylko kodeks pracy, ale również </w:t>
      </w:r>
      <w:r w:rsidRPr="004B377C">
        <w:rPr>
          <w:rFonts w:ascii="Tahoma" w:hAnsi="Tahoma" w:cs="Tahoma"/>
        </w:rPr>
        <w:t xml:space="preserve">przepisy innych ustaw i aktów wykonawczych, określające prawa i obowiązki pracowników i pracodawców, a także </w:t>
      </w:r>
      <w:r w:rsidRPr="004B377C">
        <w:rPr>
          <w:rFonts w:ascii="Tahoma" w:hAnsi="Tahoma" w:cs="Tahoma"/>
          <w:b/>
          <w:bCs/>
        </w:rPr>
        <w:t>postanowienia układów zbiorowych pracy</w:t>
      </w:r>
      <w:r w:rsidRPr="004B377C">
        <w:rPr>
          <w:rFonts w:ascii="Tahoma" w:hAnsi="Tahoma" w:cs="Tahoma"/>
        </w:rPr>
        <w:t xml:space="preserve"> i innych opartych na ustawie porozumień zbiorowych, regulaminów i statutów określających prawa i obowiązki stron stosunku pracy. Co więcej zgodnie  </w:t>
      </w:r>
      <w:r w:rsidRPr="004B377C">
        <w:rPr>
          <w:rFonts w:ascii="Tahoma" w:hAnsi="Tahoma" w:cs="Tahoma"/>
          <w:b/>
          <w:bCs/>
        </w:rPr>
        <w:t xml:space="preserve">§  2 </w:t>
      </w:r>
      <w:r w:rsidRPr="004B377C">
        <w:rPr>
          <w:rFonts w:ascii="Tahoma" w:hAnsi="Tahoma" w:cs="Tahoma"/>
        </w:rPr>
        <w:t xml:space="preserve">Postanowienia układów zbiorowych pracy i porozumień zbiorowych oraz regulaminów i statutów </w:t>
      </w:r>
      <w:r w:rsidRPr="004B377C">
        <w:rPr>
          <w:rFonts w:ascii="Tahoma" w:hAnsi="Tahoma" w:cs="Tahoma"/>
          <w:b/>
          <w:bCs/>
        </w:rPr>
        <w:t xml:space="preserve">nie mogą być mniej korzystne dla pracowników niż przepisy Kodeksu pracy oraz innych ustaw i aktów wykonawczych. </w:t>
      </w:r>
    </w:p>
    <w:p w14:paraId="28911CEA" w14:textId="77777777" w:rsidR="004B377C" w:rsidRPr="004B377C" w:rsidRDefault="004B377C" w:rsidP="004B377C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620F0131" w14:textId="5E097F98" w:rsidR="004B377C" w:rsidRPr="004B377C" w:rsidRDefault="004B377C" w:rsidP="004B377C">
      <w:pPr>
        <w:pStyle w:val="Akapitzlist"/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 xml:space="preserve">Z powyższego wynika jednoznacznie, że </w:t>
      </w:r>
      <w:r w:rsidRPr="004B377C">
        <w:rPr>
          <w:rFonts w:ascii="Tahoma" w:hAnsi="Tahoma" w:cs="Tahoma"/>
          <w:b/>
          <w:bCs/>
        </w:rPr>
        <w:t>temat prawa do bezpłatnego mieszkania/równoważnika został przez strony PUZP zakwalifikowany jako uprawnienie pracownicze, o charakterze roszczeniowym</w:t>
      </w:r>
      <w:r w:rsidRPr="004B377C">
        <w:rPr>
          <w:rFonts w:ascii="Tahoma" w:hAnsi="Tahoma" w:cs="Tahoma"/>
        </w:rPr>
        <w:t xml:space="preserve"> jak</w:t>
      </w:r>
      <w:r>
        <w:rPr>
          <w:rFonts w:ascii="Tahoma" w:hAnsi="Tahoma" w:cs="Tahoma"/>
        </w:rPr>
        <w:t xml:space="preserve"> np.</w:t>
      </w:r>
      <w:r w:rsidRPr="004B377C">
        <w:rPr>
          <w:rFonts w:ascii="Tahoma" w:hAnsi="Tahoma" w:cs="Tahoma"/>
        </w:rPr>
        <w:t xml:space="preserve"> przykładowo prawo do płatnego urlopu czy nagrody jubileuszowej. Jest to z resztą konsekwencja treści art. 46 i innych ustawy o lasach, które regulują zakres praw i obowiązków stron stosunku pracy i stanowią w zakresie relacji zawodowych Służby Leśnej – pragmatyki służbowe.</w:t>
      </w:r>
    </w:p>
    <w:p w14:paraId="74ADA561" w14:textId="77777777" w:rsidR="004B377C" w:rsidRPr="004B377C" w:rsidRDefault="004B377C" w:rsidP="004B377C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44AE6409" w14:textId="77777777" w:rsidR="004B377C" w:rsidRPr="004B377C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>Zasady zmiany przyznanych stałych składników wynagrodzenia (praw nabytych), mogą mieć miejsce po uzyskaniu zgody pracownika (co w niniejszej sprawie nie ma miejsca) albo po dokonaniu wypowiedzenia zmieniającego o którym mowa w art. 42 Kodeksu pracy.</w:t>
      </w:r>
    </w:p>
    <w:p w14:paraId="71409963" w14:textId="050F8032" w:rsidR="004B377C" w:rsidRPr="007A7B83" w:rsidRDefault="007A7B83" w:rsidP="007A7B83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Tahoma" w:hAnsi="Tahoma" w:cs="Tahoma"/>
        </w:rPr>
      </w:pPr>
      <w:r w:rsidRPr="007A7B83">
        <w:rPr>
          <w:rFonts w:ascii="Tahoma" w:hAnsi="Tahoma" w:cs="Tahoma"/>
          <w:u w:val="single"/>
        </w:rPr>
        <w:t>Dyskryminacja w zatrudnieniu na stanowisku leśniczego</w:t>
      </w:r>
      <w:r>
        <w:rPr>
          <w:rFonts w:ascii="Tahoma" w:hAnsi="Tahoma" w:cs="Tahoma"/>
        </w:rPr>
        <w:t>.</w:t>
      </w:r>
    </w:p>
    <w:p w14:paraId="0ECD63A9" w14:textId="77777777" w:rsidR="007A7B83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 xml:space="preserve">Zwracam również uwagę, że PUZP w treści § 20 a i n. reguluje uprawnienia osób które na podstawie zmienionych przepisów miały prawo do bezpłatnego mieszkania gwarantując im prawo do kontynuacji mieszkania, bądź dodatku mieszkaniowego. Przyjęcie innych zasad ustalania prawa do </w:t>
      </w:r>
      <w:proofErr w:type="spellStart"/>
      <w:r w:rsidRPr="004B377C">
        <w:rPr>
          <w:rFonts w:ascii="Tahoma" w:hAnsi="Tahoma" w:cs="Tahoma"/>
        </w:rPr>
        <w:t>ww</w:t>
      </w:r>
      <w:proofErr w:type="spellEnd"/>
      <w:r w:rsidRPr="004B377C">
        <w:rPr>
          <w:rFonts w:ascii="Tahoma" w:hAnsi="Tahoma" w:cs="Tahoma"/>
        </w:rPr>
        <w:t xml:space="preserve"> świadczeń pracowników zarówno obecnie jak i na przyszłość stanowi dyskryminację z przyczyn politycznych. (z racji zmienionej „wykładni”)</w:t>
      </w:r>
      <w:r w:rsidR="00BB5950">
        <w:rPr>
          <w:rFonts w:ascii="Tahoma" w:hAnsi="Tahoma" w:cs="Tahoma"/>
        </w:rPr>
        <w:t xml:space="preserve">. </w:t>
      </w:r>
    </w:p>
    <w:p w14:paraId="2F10CD69" w14:textId="77777777" w:rsidR="007A7B83" w:rsidRDefault="00BB5950" w:rsidP="004B377C">
      <w:pPr>
        <w:spacing w:line="281" w:lineRule="auto"/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Tahoma" w:hAnsi="Tahoma" w:cs="Tahoma"/>
        </w:rPr>
        <w:t>Dyskryminacja również może zachodzić, przy aktualnych poglądach gdzie jedni leśniczowie utrzymają prawo do bezpłatnego mieszkania/równoważnika a inni nie, mimo że charakter pracy i zakres odpowiedzialności i czynności niczym się nie różni.</w:t>
      </w:r>
      <w:r w:rsidR="0025348B" w:rsidRPr="0025348B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</w:p>
    <w:p w14:paraId="5A3F3B54" w14:textId="76C3A574" w:rsidR="004B377C" w:rsidRDefault="0025348B" w:rsidP="004B377C">
      <w:pPr>
        <w:spacing w:line="281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Zg</w:t>
      </w:r>
      <w:r w:rsidRPr="0025348B">
        <w:rPr>
          <w:rFonts w:ascii="Tahoma" w:hAnsi="Tahoma" w:cs="Tahoma"/>
        </w:rPr>
        <w:t>odnie z Kodeksem Pracy (art. 18[3c]), </w:t>
      </w:r>
      <w:r w:rsidRPr="007A7B83">
        <w:rPr>
          <w:rFonts w:ascii="Tahoma" w:hAnsi="Tahoma" w:cs="Tahoma"/>
          <w:b/>
          <w:bCs/>
        </w:rPr>
        <w:t>każdy pracownik ma prawo do jednakowego wynagrodzenia za jednakową pracę lub pracę o jednakowej wartości</w:t>
      </w:r>
      <w:r>
        <w:rPr>
          <w:rFonts w:ascii="Tahoma" w:hAnsi="Tahoma" w:cs="Tahoma"/>
        </w:rPr>
        <w:t xml:space="preserve">. </w:t>
      </w:r>
      <w:r w:rsidR="007A7B83">
        <w:rPr>
          <w:rFonts w:ascii="Tahoma" w:hAnsi="Tahoma" w:cs="Tahoma"/>
        </w:rPr>
        <w:t xml:space="preserve">Do podstawowych obowiązków pracodawców należy m.in. </w:t>
      </w:r>
      <w:r w:rsidR="007A7B83" w:rsidRPr="007A7B83">
        <w:rPr>
          <w:rFonts w:ascii="Tahoma" w:hAnsi="Tahoma" w:cs="Tahoma"/>
        </w:rPr>
        <w:t>przeciwdziała</w:t>
      </w:r>
      <w:r w:rsidR="007A7B83">
        <w:rPr>
          <w:rFonts w:ascii="Tahoma" w:hAnsi="Tahoma" w:cs="Tahoma"/>
        </w:rPr>
        <w:t>nie</w:t>
      </w:r>
      <w:r w:rsidR="007A7B83" w:rsidRPr="007A7B83">
        <w:rPr>
          <w:rFonts w:ascii="Tahoma" w:hAnsi="Tahoma" w:cs="Tahoma"/>
        </w:rPr>
        <w:t xml:space="preserve"> dyskryminacji w zatrudnieniu</w:t>
      </w:r>
      <w:r w:rsidR="007A7B83">
        <w:rPr>
          <w:rFonts w:ascii="Tahoma" w:hAnsi="Tahoma" w:cs="Tahoma"/>
        </w:rPr>
        <w:t xml:space="preserve"> (por. art. 94 </w:t>
      </w:r>
      <w:proofErr w:type="spellStart"/>
      <w:r w:rsidR="007A7B83">
        <w:rPr>
          <w:rFonts w:ascii="Tahoma" w:hAnsi="Tahoma" w:cs="Tahoma"/>
        </w:rPr>
        <w:t>kp</w:t>
      </w:r>
      <w:proofErr w:type="spellEnd"/>
      <w:r w:rsidR="007A7B83">
        <w:rPr>
          <w:rFonts w:ascii="Tahoma" w:hAnsi="Tahoma" w:cs="Tahoma"/>
        </w:rPr>
        <w:t>), a w przypadku zarzutu pracownika w tej materii, to pracodawca ma obowiązek udowodnić, że do dyskryminacji nie dochodzi.</w:t>
      </w:r>
    </w:p>
    <w:p w14:paraId="406B47C1" w14:textId="01526F4E" w:rsidR="007A7B83" w:rsidRPr="008028A5" w:rsidRDefault="008028A5" w:rsidP="008028A5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Tahoma" w:hAnsi="Tahoma" w:cs="Tahoma"/>
          <w:u w:val="single"/>
        </w:rPr>
      </w:pPr>
      <w:r w:rsidRPr="008028A5">
        <w:rPr>
          <w:rFonts w:ascii="Tahoma" w:hAnsi="Tahoma" w:cs="Tahoma"/>
          <w:u w:val="single"/>
        </w:rPr>
        <w:t>Oczekiwania</w:t>
      </w:r>
    </w:p>
    <w:p w14:paraId="46D3F05D" w14:textId="77777777" w:rsidR="004B377C" w:rsidRPr="00F1792A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>Zaległa p</w:t>
      </w:r>
      <w:r w:rsidRPr="00F1792A">
        <w:rPr>
          <w:rFonts w:ascii="Tahoma" w:hAnsi="Tahoma" w:cs="Tahoma"/>
        </w:rPr>
        <w:t xml:space="preserve">łatność powinna zostać dokonana w terminie </w:t>
      </w:r>
      <w:r w:rsidRPr="00F1792A">
        <w:rPr>
          <w:rFonts w:ascii="Tahoma" w:hAnsi="Tahoma" w:cs="Tahoma"/>
          <w:b/>
          <w:bCs/>
        </w:rPr>
        <w:t>7 dni</w:t>
      </w:r>
      <w:r w:rsidRPr="00F1792A">
        <w:rPr>
          <w:rFonts w:ascii="Tahoma" w:hAnsi="Tahoma" w:cs="Tahoma"/>
        </w:rPr>
        <w:t xml:space="preserve"> od daty otrzymania niniejszego wezwania, na poniższy rachunek bankowy:</w:t>
      </w:r>
    </w:p>
    <w:p w14:paraId="4BB8FA60" w14:textId="77777777" w:rsidR="004B377C" w:rsidRDefault="004B377C" w:rsidP="004B377C">
      <w:pPr>
        <w:spacing w:line="281" w:lineRule="auto"/>
        <w:rPr>
          <w:rFonts w:ascii="Tahoma" w:hAnsi="Tahoma" w:cs="Tahoma"/>
        </w:rPr>
      </w:pPr>
      <w:r w:rsidRPr="00F1792A">
        <w:rPr>
          <w:rFonts w:ascii="Tahoma" w:hAnsi="Tahoma" w:cs="Tahoma"/>
          <w:b/>
          <w:bCs/>
        </w:rPr>
        <w:t>[Numer rachunku bankowego]</w:t>
      </w:r>
      <w:r w:rsidRPr="00F1792A">
        <w:rPr>
          <w:rFonts w:ascii="Tahoma" w:hAnsi="Tahoma" w:cs="Tahoma"/>
        </w:rPr>
        <w:br/>
      </w:r>
    </w:p>
    <w:p w14:paraId="5DC47B17" w14:textId="446585DA" w:rsidR="004B377C" w:rsidRPr="00F1792A" w:rsidRDefault="004B377C" w:rsidP="004B377C">
      <w:pPr>
        <w:spacing w:line="281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Powyższy numer konta jest również aktualny w zakresie wznowienia wstrzymanych wypłat na przyszłość. Wpłata zaległego równoważnika w </w:t>
      </w:r>
      <w:proofErr w:type="spellStart"/>
      <w:r>
        <w:rPr>
          <w:rFonts w:ascii="Tahoma" w:hAnsi="Tahoma" w:cs="Tahoma"/>
        </w:rPr>
        <w:t>ww</w:t>
      </w:r>
      <w:proofErr w:type="spellEnd"/>
      <w:r>
        <w:rPr>
          <w:rFonts w:ascii="Tahoma" w:hAnsi="Tahoma" w:cs="Tahoma"/>
        </w:rPr>
        <w:t xml:space="preserve"> terminie może nastąpić bez odsetek.</w:t>
      </w:r>
    </w:p>
    <w:p w14:paraId="1269FF82" w14:textId="77777777" w:rsidR="004B377C" w:rsidRPr="00F1792A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F1792A">
        <w:rPr>
          <w:rFonts w:ascii="Tahoma" w:hAnsi="Tahoma" w:cs="Tahoma"/>
        </w:rPr>
        <w:t>W przypadku braku zapłaty w wyżej wskazanym terminie, zmuszony będę dochodzić zapłaty należności na drodze sądowej, co wiązać się będzie z dodatkowymi kosztami (w tym kosztami sądowymi i egzekucyjnymi)</w:t>
      </w:r>
      <w:r w:rsidRPr="004B377C">
        <w:rPr>
          <w:rFonts w:ascii="Tahoma" w:hAnsi="Tahoma" w:cs="Tahoma"/>
        </w:rPr>
        <w:t>.</w:t>
      </w:r>
    </w:p>
    <w:p w14:paraId="077BCE69" w14:textId="4EE9CACC" w:rsidR="004B377C" w:rsidRPr="00F1792A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F1792A">
        <w:rPr>
          <w:rFonts w:ascii="Tahoma" w:hAnsi="Tahoma" w:cs="Tahoma"/>
        </w:rPr>
        <w:t>Proszę potraktować to pismo jako ostateczne przedsądowe wezwanie do zapłaty</w:t>
      </w:r>
      <w:r w:rsidRPr="004B377C">
        <w:rPr>
          <w:rFonts w:ascii="Tahoma" w:hAnsi="Tahoma" w:cs="Tahoma"/>
        </w:rPr>
        <w:t xml:space="preserve"> jak i próbę polubownego rozwiązania </w:t>
      </w:r>
      <w:r w:rsidR="008028A5">
        <w:rPr>
          <w:rFonts w:ascii="Tahoma" w:hAnsi="Tahoma" w:cs="Tahoma"/>
        </w:rPr>
        <w:t>sporu.</w:t>
      </w:r>
    </w:p>
    <w:p w14:paraId="33AA3DC1" w14:textId="77777777" w:rsidR="004B377C" w:rsidRPr="00F1792A" w:rsidRDefault="004B377C" w:rsidP="004B377C">
      <w:pPr>
        <w:spacing w:line="281" w:lineRule="auto"/>
        <w:rPr>
          <w:rFonts w:ascii="Tahoma" w:hAnsi="Tahoma" w:cs="Tahoma"/>
        </w:rPr>
      </w:pPr>
      <w:r w:rsidRPr="00F1792A">
        <w:rPr>
          <w:rFonts w:ascii="Tahoma" w:hAnsi="Tahoma" w:cs="Tahoma"/>
        </w:rPr>
        <w:t>Z poważaniem,</w:t>
      </w:r>
      <w:r w:rsidRPr="00F1792A">
        <w:rPr>
          <w:rFonts w:ascii="Tahoma" w:hAnsi="Tahoma" w:cs="Tahoma"/>
        </w:rPr>
        <w:br/>
      </w:r>
      <w:r w:rsidRPr="00F1792A">
        <w:rPr>
          <w:rFonts w:ascii="Tahoma" w:hAnsi="Tahoma" w:cs="Tahoma"/>
          <w:b/>
          <w:bCs/>
        </w:rPr>
        <w:t>[Imię i nazwisko / Podpis]</w:t>
      </w:r>
    </w:p>
    <w:p w14:paraId="250FE404" w14:textId="77777777" w:rsidR="004B377C" w:rsidRPr="00F1792A" w:rsidRDefault="004B377C" w:rsidP="004B377C">
      <w:pPr>
        <w:spacing w:line="281" w:lineRule="auto"/>
        <w:jc w:val="both"/>
      </w:pPr>
      <w:r w:rsidRPr="00F1792A">
        <w:t xml:space="preserve">  </w:t>
      </w:r>
    </w:p>
    <w:p w14:paraId="6DAB2B31" w14:textId="77777777" w:rsidR="004B377C" w:rsidRPr="004B377C" w:rsidRDefault="004B377C" w:rsidP="004B377C">
      <w:pPr>
        <w:spacing w:line="281" w:lineRule="auto"/>
        <w:jc w:val="both"/>
      </w:pPr>
    </w:p>
    <w:p w14:paraId="62CA20A0" w14:textId="2A870B82" w:rsidR="00A65B86" w:rsidRDefault="004B377C" w:rsidP="004B377C">
      <w:pPr>
        <w:spacing w:line="281" w:lineRule="auto"/>
        <w:jc w:val="both"/>
        <w:rPr>
          <w:rFonts w:ascii="Tahoma" w:hAnsi="Tahoma" w:cs="Tahoma"/>
        </w:rPr>
      </w:pPr>
      <w:r w:rsidRPr="004B377C">
        <w:rPr>
          <w:rFonts w:ascii="Tahoma" w:hAnsi="Tahoma" w:cs="Tahoma"/>
        </w:rPr>
        <w:t>Potwierdzam odbiór:</w:t>
      </w:r>
    </w:p>
    <w:p w14:paraId="4AFEFC6F" w14:textId="77777777" w:rsidR="004B377C" w:rsidRDefault="004B377C" w:rsidP="004B377C">
      <w:pPr>
        <w:spacing w:line="281" w:lineRule="auto"/>
        <w:jc w:val="both"/>
        <w:rPr>
          <w:rFonts w:ascii="Tahoma" w:hAnsi="Tahoma" w:cs="Tahoma"/>
        </w:rPr>
      </w:pPr>
    </w:p>
    <w:p w14:paraId="7E034750" w14:textId="77777777" w:rsidR="004B377C" w:rsidRDefault="004B377C" w:rsidP="004B377C">
      <w:pPr>
        <w:spacing w:line="281" w:lineRule="auto"/>
        <w:jc w:val="both"/>
        <w:rPr>
          <w:rFonts w:ascii="Tahoma" w:hAnsi="Tahoma" w:cs="Tahoma"/>
        </w:rPr>
      </w:pPr>
    </w:p>
    <w:p w14:paraId="7A32F300" w14:textId="0EBE6C77" w:rsidR="004B377C" w:rsidRPr="004B377C" w:rsidRDefault="004B377C" w:rsidP="004B377C">
      <w:pPr>
        <w:spacing w:line="281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</w:p>
    <w:sectPr w:rsidR="004B377C" w:rsidRPr="004B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A20C" w14:textId="77777777" w:rsidR="00F468EC" w:rsidRDefault="00F468EC" w:rsidP="004B377C">
      <w:pPr>
        <w:spacing w:after="0" w:line="240" w:lineRule="auto"/>
      </w:pPr>
      <w:r>
        <w:separator/>
      </w:r>
    </w:p>
  </w:endnote>
  <w:endnote w:type="continuationSeparator" w:id="0">
    <w:p w14:paraId="371892A7" w14:textId="77777777" w:rsidR="00F468EC" w:rsidRDefault="00F468EC" w:rsidP="004B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0027" w14:textId="77777777" w:rsidR="00F468EC" w:rsidRDefault="00F468EC" w:rsidP="004B377C">
      <w:pPr>
        <w:spacing w:after="0" w:line="240" w:lineRule="auto"/>
      </w:pPr>
      <w:r>
        <w:separator/>
      </w:r>
    </w:p>
  </w:footnote>
  <w:footnote w:type="continuationSeparator" w:id="0">
    <w:p w14:paraId="52D3AE4F" w14:textId="77777777" w:rsidR="00F468EC" w:rsidRDefault="00F468EC" w:rsidP="004B377C">
      <w:pPr>
        <w:spacing w:after="0" w:line="240" w:lineRule="auto"/>
      </w:pPr>
      <w:r>
        <w:continuationSeparator/>
      </w:r>
    </w:p>
  </w:footnote>
  <w:footnote w:id="1">
    <w:p w14:paraId="5AA4EA6A" w14:textId="77777777" w:rsidR="004B377C" w:rsidRPr="00387373" w:rsidRDefault="004B377C" w:rsidP="004B377C">
      <w:pPr>
        <w:pStyle w:val="Tekstprzypisudolnego"/>
      </w:pPr>
      <w:r w:rsidRPr="004B377C">
        <w:rPr>
          <w:rStyle w:val="Odwoanieprzypisudolnego"/>
        </w:rPr>
        <w:footnoteRef/>
      </w:r>
      <w:r w:rsidRPr="004B377C">
        <w:t xml:space="preserve"> ROZPORZĄDZENIE </w:t>
      </w:r>
      <w:r w:rsidRPr="00387373">
        <w:t>MINISTRA ŚRODOWISKA</w:t>
      </w:r>
      <w:r w:rsidRPr="00387373">
        <w:rPr>
          <w:vertAlign w:val="superscript"/>
        </w:rPr>
        <w:t>1)</w:t>
      </w:r>
      <w:r w:rsidRPr="004B377C">
        <w:t xml:space="preserve"> </w:t>
      </w:r>
      <w:r w:rsidRPr="00387373">
        <w:t>z dnia 17 grudnia 2009 r.</w:t>
      </w:r>
      <w:r w:rsidRPr="004B377C">
        <w:t xml:space="preserve"> </w:t>
      </w:r>
      <w:r w:rsidRPr="00387373">
        <w:t>w sprawie określenia stanowisk w Służbie Leśnej, na których zatrudnionym pracownikom przysługuje bezpłatne mieszkanie albo równoważnik pieniężny, oraz sposobu i trybu przyznawania i zwalniania tych mieszkań, a także ustalania i wypłaty równoważnika pieniężnego</w:t>
      </w:r>
    </w:p>
    <w:p w14:paraId="03C1C8D7" w14:textId="77777777" w:rsidR="004B377C" w:rsidRDefault="004B377C" w:rsidP="004B37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361D"/>
    <w:multiLevelType w:val="hybridMultilevel"/>
    <w:tmpl w:val="8182D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03E5"/>
    <w:multiLevelType w:val="hybridMultilevel"/>
    <w:tmpl w:val="65CA7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F80"/>
    <w:multiLevelType w:val="hybridMultilevel"/>
    <w:tmpl w:val="E2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307C"/>
    <w:multiLevelType w:val="hybridMultilevel"/>
    <w:tmpl w:val="34C85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A5FB0"/>
    <w:multiLevelType w:val="hybridMultilevel"/>
    <w:tmpl w:val="1FFC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F0DB4"/>
    <w:multiLevelType w:val="hybridMultilevel"/>
    <w:tmpl w:val="6B88A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24160">
    <w:abstractNumId w:val="5"/>
  </w:num>
  <w:num w:numId="2" w16cid:durableId="1253078387">
    <w:abstractNumId w:val="3"/>
  </w:num>
  <w:num w:numId="3" w16cid:durableId="1079400633">
    <w:abstractNumId w:val="2"/>
  </w:num>
  <w:num w:numId="4" w16cid:durableId="1550409560">
    <w:abstractNumId w:val="4"/>
  </w:num>
  <w:num w:numId="5" w16cid:durableId="1002662166">
    <w:abstractNumId w:val="1"/>
  </w:num>
  <w:num w:numId="6" w16cid:durableId="18405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C"/>
    <w:rsid w:val="000C23E5"/>
    <w:rsid w:val="0025348B"/>
    <w:rsid w:val="00440266"/>
    <w:rsid w:val="004604D3"/>
    <w:rsid w:val="004B377C"/>
    <w:rsid w:val="00681C30"/>
    <w:rsid w:val="007A7B83"/>
    <w:rsid w:val="008028A5"/>
    <w:rsid w:val="00A65B86"/>
    <w:rsid w:val="00BB5950"/>
    <w:rsid w:val="00C25356"/>
    <w:rsid w:val="00DB7468"/>
    <w:rsid w:val="00F4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9D82"/>
  <w15:chartTrackingRefBased/>
  <w15:docId w15:val="{272B5807-C69A-4EBB-96A7-BE59D5C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7C"/>
  </w:style>
  <w:style w:type="paragraph" w:styleId="Nagwek1">
    <w:name w:val="heading 1"/>
    <w:basedOn w:val="Normalny"/>
    <w:next w:val="Normalny"/>
    <w:link w:val="Nagwek1Znak"/>
    <w:uiPriority w:val="9"/>
    <w:qFormat/>
    <w:rsid w:val="004B3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7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7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B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7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7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7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7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7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7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7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7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7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7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77C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 Anonim</dc:creator>
  <cp:keywords/>
  <dc:description/>
  <cp:lastModifiedBy>Agnieszka Macura</cp:lastModifiedBy>
  <cp:revision>3</cp:revision>
  <dcterms:created xsi:type="dcterms:W3CDTF">2025-04-22T14:19:00Z</dcterms:created>
  <dcterms:modified xsi:type="dcterms:W3CDTF">2025-04-22T14:20:00Z</dcterms:modified>
</cp:coreProperties>
</file>